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jc w:val="center"/>
        <w:tblBorders>
          <w:top w:val="dashSmallGap" w:sz="4" w:space="0" w:color="76923C"/>
          <w:left w:val="dashSmallGap" w:sz="4" w:space="0" w:color="76923C"/>
          <w:bottom w:val="dashSmallGap" w:sz="4" w:space="0" w:color="76923C"/>
          <w:right w:val="dashSmallGap" w:sz="4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75"/>
        <w:gridCol w:w="5199"/>
        <w:gridCol w:w="2102"/>
      </w:tblGrid>
      <w:tr w:rsidR="0073750D" w:rsidRPr="00443DEA" w:rsidTr="00334BA9">
        <w:trPr>
          <w:cantSplit/>
          <w:trHeight w:val="837"/>
          <w:jc w:val="center"/>
        </w:trPr>
        <w:tc>
          <w:tcPr>
            <w:tcW w:w="2575" w:type="dxa"/>
            <w:shd w:val="clear" w:color="auto" w:fill="auto"/>
            <w:vAlign w:val="center"/>
          </w:tcPr>
          <w:p w:rsidR="0073750D" w:rsidRPr="00443DEA" w:rsidRDefault="0073750D" w:rsidP="00900672">
            <w:pPr>
              <w:pStyle w:val="Intestazione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557020" cy="470535"/>
                  <wp:effectExtent l="0" t="0" r="508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73750D" w:rsidRPr="00DC3F3B" w:rsidRDefault="0073750D" w:rsidP="00900672">
            <w:pPr>
              <w:pStyle w:val="a"/>
              <w:spacing w:after="0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i/>
                <w:sz w:val="44"/>
                <w:szCs w:val="52"/>
              </w:rPr>
              <w:t>Politiche per la qualità</w:t>
            </w:r>
            <w:r w:rsidRPr="00DC3F3B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73750D" w:rsidRPr="00443DEA" w:rsidRDefault="0073750D" w:rsidP="000545A3">
            <w:pPr>
              <w:pStyle w:val="Intestazione"/>
              <w:ind w:right="23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49EE739" wp14:editId="6F1964D3">
                  <wp:extent cx="1186180" cy="425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BA9" w:rsidRPr="001F5BEE" w:rsidRDefault="00334BA9" w:rsidP="00334BA9">
      <w:pPr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Nuovo Cescot E.R.</w:t>
      </w:r>
      <w:r>
        <w:rPr>
          <w:rFonts w:asciiTheme="minorHAnsi" w:hAnsiTheme="minorHAnsi" w:cs="Calibri"/>
          <w:sz w:val="24"/>
          <w:szCs w:val="24"/>
        </w:rPr>
        <w:t xml:space="preserve"> Scarl</w:t>
      </w:r>
      <w:r w:rsidRPr="001F5BEE">
        <w:rPr>
          <w:rFonts w:asciiTheme="minorHAnsi" w:hAnsiTheme="minorHAnsi" w:cs="Calibri"/>
          <w:sz w:val="24"/>
          <w:szCs w:val="24"/>
        </w:rPr>
        <w:t>, ente ACCREDITATO dalla regione Emilia</w:t>
      </w:r>
      <w:r>
        <w:rPr>
          <w:rFonts w:asciiTheme="minorHAnsi" w:hAnsiTheme="minorHAnsi" w:cs="Calibri"/>
          <w:sz w:val="24"/>
          <w:szCs w:val="24"/>
        </w:rPr>
        <w:t>-</w:t>
      </w:r>
      <w:r w:rsidRPr="001F5BEE">
        <w:rPr>
          <w:rFonts w:asciiTheme="minorHAnsi" w:hAnsiTheme="minorHAnsi" w:cs="Calibri"/>
          <w:sz w:val="24"/>
          <w:szCs w:val="24"/>
        </w:rPr>
        <w:t xml:space="preserve">Romagna </w:t>
      </w:r>
      <w:r w:rsidRPr="00535A4A">
        <w:rPr>
          <w:rFonts w:asciiTheme="minorHAnsi" w:hAnsiTheme="minorHAnsi" w:cs="Calibri"/>
          <w:sz w:val="24"/>
          <w:szCs w:val="24"/>
        </w:rPr>
        <w:t xml:space="preserve">per </w:t>
      </w:r>
      <w:r>
        <w:rPr>
          <w:rFonts w:asciiTheme="minorHAnsi" w:hAnsiTheme="minorHAnsi" w:cs="Calibri"/>
          <w:sz w:val="24"/>
          <w:szCs w:val="24"/>
        </w:rPr>
        <w:t xml:space="preserve">gli </w:t>
      </w:r>
      <w:r w:rsidRPr="00535A4A">
        <w:rPr>
          <w:rFonts w:asciiTheme="minorHAnsi" w:hAnsiTheme="minorHAnsi" w:cs="Calibri"/>
          <w:sz w:val="24"/>
          <w:szCs w:val="24"/>
        </w:rPr>
        <w:t>Ambit</w:t>
      </w:r>
      <w:r>
        <w:rPr>
          <w:rFonts w:asciiTheme="minorHAnsi" w:hAnsiTheme="minorHAnsi" w:cs="Calibri"/>
          <w:sz w:val="24"/>
          <w:szCs w:val="24"/>
        </w:rPr>
        <w:t>i</w:t>
      </w:r>
      <w:r w:rsidRPr="00535A4A">
        <w:rPr>
          <w:rFonts w:asciiTheme="minorHAnsi" w:hAnsiTheme="minorHAnsi" w:cs="Calibri"/>
          <w:sz w:val="24"/>
          <w:szCs w:val="24"/>
        </w:rPr>
        <w:t xml:space="preserve"> </w:t>
      </w:r>
      <w:r w:rsidRPr="00535A4A">
        <w:rPr>
          <w:rFonts w:asciiTheme="minorHAnsi" w:hAnsiTheme="minorHAnsi" w:cs="Calibri"/>
          <w:i/>
          <w:iCs/>
          <w:sz w:val="24"/>
          <w:szCs w:val="24"/>
        </w:rPr>
        <w:t>“Formazione per l’accesso all’occupazione, continua e permanente</w:t>
      </w:r>
      <w:r>
        <w:rPr>
          <w:rFonts w:asciiTheme="minorHAnsi" w:hAnsiTheme="minorHAnsi" w:cs="Calibri"/>
          <w:sz w:val="24"/>
          <w:szCs w:val="24"/>
        </w:rPr>
        <w:t xml:space="preserve">” e </w:t>
      </w:r>
      <w:r w:rsidRPr="00535A4A">
        <w:rPr>
          <w:rFonts w:asciiTheme="minorHAnsi" w:hAnsiTheme="minorHAnsi" w:cs="Calibri"/>
          <w:sz w:val="24"/>
          <w:szCs w:val="24"/>
        </w:rPr>
        <w:t>“</w:t>
      </w:r>
      <w:r w:rsidRPr="00535A4A">
        <w:rPr>
          <w:rFonts w:asciiTheme="minorHAnsi" w:hAnsiTheme="minorHAnsi" w:cs="Calibri"/>
          <w:i/>
          <w:iCs/>
          <w:sz w:val="24"/>
          <w:szCs w:val="24"/>
        </w:rPr>
        <w:t>Formazione superiore e di livello equivalente</w:t>
      </w:r>
      <w:r w:rsidRPr="00535A4A">
        <w:rPr>
          <w:rFonts w:asciiTheme="minorHAnsi" w:hAnsiTheme="minorHAnsi" w:cs="Calibri"/>
          <w:sz w:val="24"/>
          <w:szCs w:val="24"/>
        </w:rPr>
        <w:t>”</w:t>
      </w:r>
      <w:r w:rsidRPr="001F5BEE">
        <w:rPr>
          <w:rFonts w:asciiTheme="minorHAnsi" w:hAnsiTheme="minorHAnsi" w:cs="Calibri"/>
          <w:sz w:val="24"/>
          <w:szCs w:val="24"/>
        </w:rPr>
        <w:t xml:space="preserve">, considera </w:t>
      </w:r>
      <w:r w:rsidRPr="00BB24D7">
        <w:rPr>
          <w:rFonts w:asciiTheme="minorHAnsi" w:hAnsiTheme="minorHAnsi" w:cs="Calibri"/>
          <w:b/>
          <w:bCs/>
          <w:sz w:val="24"/>
          <w:szCs w:val="24"/>
        </w:rPr>
        <w:t xml:space="preserve">la Certificazione di Qualità uno strumento fondamentale </w:t>
      </w:r>
      <w:bookmarkStart w:id="0" w:name="_Hlk504494499"/>
      <w:r w:rsidRPr="00BB24D7">
        <w:rPr>
          <w:rFonts w:asciiTheme="minorHAnsi" w:hAnsiTheme="minorHAnsi" w:cs="Calibri"/>
          <w:b/>
          <w:bCs/>
          <w:sz w:val="24"/>
          <w:szCs w:val="24"/>
        </w:rPr>
        <w:t>per accrescere e mantenere la soddisfazione dei propri clienti</w:t>
      </w:r>
      <w:r w:rsidRPr="001F5BEE">
        <w:rPr>
          <w:rFonts w:asciiTheme="minorHAnsi" w:hAnsiTheme="minorHAnsi" w:cs="Calibri"/>
          <w:sz w:val="24"/>
          <w:szCs w:val="24"/>
        </w:rPr>
        <w:t>, interni ed esterni e, più in generale, di tutte le parti interessate.</w:t>
      </w:r>
      <w:bookmarkEnd w:id="0"/>
    </w:p>
    <w:p w:rsidR="00334BA9" w:rsidRDefault="00334BA9" w:rsidP="00334BA9">
      <w:pPr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</w:t>
      </w:r>
      <w:r w:rsidRPr="001F5BEE">
        <w:rPr>
          <w:rFonts w:asciiTheme="minorHAnsi" w:hAnsiTheme="minorHAnsi" w:cs="Calibri"/>
          <w:sz w:val="24"/>
          <w:szCs w:val="24"/>
        </w:rPr>
        <w:t xml:space="preserve"> Sistema di Gestione per la Qualità in conformità alla norma UNI EN ISO 9001:2015 </w:t>
      </w:r>
      <w:r>
        <w:rPr>
          <w:rFonts w:asciiTheme="minorHAnsi" w:hAnsiTheme="minorHAnsi" w:cs="Calibri"/>
          <w:sz w:val="24"/>
          <w:szCs w:val="24"/>
        </w:rPr>
        <w:t>è improntato</w:t>
      </w:r>
      <w:r w:rsidRPr="001F5BEE">
        <w:rPr>
          <w:rFonts w:asciiTheme="minorHAnsi" w:hAnsiTheme="minorHAnsi" w:cs="Calibri"/>
          <w:sz w:val="24"/>
          <w:szCs w:val="24"/>
        </w:rPr>
        <w:t xml:space="preserve"> su un </w:t>
      </w:r>
      <w:r w:rsidRPr="00BB24D7">
        <w:rPr>
          <w:rFonts w:asciiTheme="minorHAnsi" w:hAnsiTheme="minorHAnsi" w:cs="Calibri"/>
          <w:b/>
          <w:bCs/>
          <w:sz w:val="24"/>
          <w:szCs w:val="24"/>
        </w:rPr>
        <w:t>approccio di Risk-Based Thinking</w:t>
      </w:r>
      <w:r w:rsidRPr="001F5BEE">
        <w:rPr>
          <w:rFonts w:asciiTheme="minorHAnsi" w:hAnsiTheme="minorHAnsi" w:cs="Calibri"/>
          <w:sz w:val="24"/>
          <w:szCs w:val="24"/>
        </w:rPr>
        <w:t xml:space="preserve">. Questo consente di prevenire eventi che potrebbero creare difficoltà nella gestione delle proprie attività, di minimizzarne gli effetti negativi e di cogliere al meglio le opportunità, riuscendo ad offrire ulteriori garanzie sull’affidabilità </w:t>
      </w:r>
      <w:r>
        <w:rPr>
          <w:rFonts w:asciiTheme="minorHAnsi" w:hAnsiTheme="minorHAnsi" w:cs="Calibri"/>
          <w:sz w:val="24"/>
          <w:szCs w:val="24"/>
        </w:rPr>
        <w:t xml:space="preserve">e l’aggiornamento </w:t>
      </w:r>
      <w:r w:rsidRPr="001F5BEE">
        <w:rPr>
          <w:rFonts w:asciiTheme="minorHAnsi" w:hAnsiTheme="minorHAnsi" w:cs="Calibri"/>
          <w:sz w:val="24"/>
          <w:szCs w:val="24"/>
        </w:rPr>
        <w:t>dei servizi erogati.</w:t>
      </w:r>
    </w:p>
    <w:p w:rsidR="00334BA9" w:rsidRPr="00DF68D2" w:rsidRDefault="00334BA9" w:rsidP="00334BA9">
      <w:pPr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</w:t>
      </w:r>
      <w:r w:rsidRPr="001F5BEE">
        <w:rPr>
          <w:rFonts w:asciiTheme="minorHAnsi" w:hAnsiTheme="minorHAnsi" w:cs="Calibri"/>
          <w:sz w:val="24"/>
          <w:szCs w:val="24"/>
        </w:rPr>
        <w:t xml:space="preserve"> Sistema di Gestione per la Qualità</w:t>
      </w:r>
      <w:r>
        <w:rPr>
          <w:rFonts w:asciiTheme="minorHAnsi" w:hAnsiTheme="minorHAnsi" w:cs="Calibri"/>
          <w:sz w:val="24"/>
          <w:szCs w:val="24"/>
        </w:rPr>
        <w:t xml:space="preserve"> si sviluppa in maniera integrata al </w:t>
      </w:r>
      <w:r w:rsidRPr="00DF68D2">
        <w:rPr>
          <w:rFonts w:asciiTheme="minorHAnsi" w:hAnsiTheme="minorHAnsi" w:cs="Calibri"/>
          <w:sz w:val="24"/>
          <w:szCs w:val="24"/>
        </w:rPr>
        <w:t xml:space="preserve">Codice Etico e al </w:t>
      </w:r>
      <w:r w:rsidRPr="00DF68D2">
        <w:rPr>
          <w:rFonts w:asciiTheme="minorHAnsi" w:hAnsiTheme="minorHAnsi" w:cs="Calibri"/>
          <w:b/>
          <w:bCs/>
          <w:sz w:val="24"/>
          <w:szCs w:val="24"/>
        </w:rPr>
        <w:t xml:space="preserve">Modello di Organizzazione, Gestione e Controllo, </w:t>
      </w:r>
      <w:r w:rsidRPr="00DF68D2">
        <w:rPr>
          <w:rFonts w:asciiTheme="minorHAnsi" w:hAnsiTheme="minorHAnsi" w:cs="Calibri"/>
          <w:sz w:val="24"/>
          <w:szCs w:val="24"/>
        </w:rPr>
        <w:t>un sistema di presidi e procedure rivolti a tutti coloro che operano con l’Ente di Formazione, attraverso i quali diffondere e attuare la cultura della legalità</w:t>
      </w:r>
      <w:r>
        <w:rPr>
          <w:rFonts w:asciiTheme="minorHAnsi" w:hAnsiTheme="minorHAnsi" w:cs="Calibri"/>
          <w:sz w:val="24"/>
          <w:szCs w:val="24"/>
        </w:rPr>
        <w:t xml:space="preserve"> ed </w:t>
      </w:r>
      <w:r w:rsidRPr="00DF68D2">
        <w:rPr>
          <w:rFonts w:asciiTheme="minorHAnsi" w:hAnsiTheme="minorHAnsi" w:cs="Calibri"/>
          <w:sz w:val="24"/>
          <w:szCs w:val="24"/>
        </w:rPr>
        <w:t>operare</w:t>
      </w:r>
      <w:r>
        <w:rPr>
          <w:rFonts w:asciiTheme="minorHAnsi" w:hAnsiTheme="minorHAnsi" w:cs="Calibri"/>
          <w:sz w:val="24"/>
          <w:szCs w:val="24"/>
        </w:rPr>
        <w:t>, quindi,</w:t>
      </w:r>
      <w:r w:rsidRPr="00DF68D2">
        <w:rPr>
          <w:rFonts w:asciiTheme="minorHAnsi" w:hAnsiTheme="minorHAnsi" w:cs="Calibri"/>
          <w:sz w:val="24"/>
          <w:szCs w:val="24"/>
        </w:rPr>
        <w:t xml:space="preserve"> nel rispetto della normativa vigente sotto tutti gli aspetti (sicurezza, del lavoro, commerciale, fiscale, ect).</w:t>
      </w:r>
    </w:p>
    <w:p w:rsidR="00334BA9" w:rsidRPr="001F5BEE" w:rsidRDefault="00334BA9" w:rsidP="00334BA9">
      <w:pPr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 xml:space="preserve">Per </w:t>
      </w:r>
      <w:bookmarkStart w:id="1" w:name="_Hlk504494655"/>
      <w:r>
        <w:rPr>
          <w:rFonts w:asciiTheme="minorHAnsi" w:hAnsiTheme="minorHAnsi" w:cs="Calibri"/>
          <w:sz w:val="24"/>
          <w:szCs w:val="24"/>
        </w:rPr>
        <w:t>Nuovo Cescot E.R.</w:t>
      </w:r>
      <w:r>
        <w:rPr>
          <w:rFonts w:asciiTheme="minorHAnsi" w:hAnsiTheme="minorHAnsi" w:cs="Calibri"/>
          <w:sz w:val="24"/>
          <w:szCs w:val="24"/>
        </w:rPr>
        <w:t xml:space="preserve"> Scarl</w:t>
      </w:r>
      <w:r w:rsidRPr="001F5BEE">
        <w:rPr>
          <w:rFonts w:asciiTheme="minorHAnsi" w:hAnsiTheme="minorHAnsi" w:cs="Calibri"/>
          <w:sz w:val="24"/>
          <w:szCs w:val="24"/>
        </w:rPr>
        <w:t xml:space="preserve"> l’impegno e il coinvolgimento di tutto il personale sono fondamentali ai fini del successo dei propri servizi, formativi e consulenziali. A tal fine la Direzione ha definito con attenzione e messo a disposizione del proprio personale, tutti i mezzi tecnici ed economici necessari al raggiungimento degli obiettivi. Si è inoltre impegnata a definire obiettivi e strategie, documentandoli e divulgandoli per garantire che la politica per la qualità sia compresa, attuata e sostenuta da tutti i livelli aziendali.</w:t>
      </w:r>
    </w:p>
    <w:bookmarkEnd w:id="1"/>
    <w:p w:rsidR="00334BA9" w:rsidRPr="001F5BEE" w:rsidRDefault="00334BA9" w:rsidP="00334BA9">
      <w:pPr>
        <w:tabs>
          <w:tab w:val="left" w:pos="426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In particolare, gli obiettivi fondamentali del proprio Sistema Gestione Qualità definiti dalla Direzione sono:</w:t>
      </w:r>
    </w:p>
    <w:p w:rsidR="00334BA9" w:rsidRPr="001F5BEE" w:rsidRDefault="00334BA9" w:rsidP="00334BA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before="100" w:beforeAutospacing="1" w:after="100" w:afterAutospacing="1"/>
        <w:ind w:left="0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Prendersi carico della soddisfazione dei propri “clienti” rispetto alle attività svolte, curando tutti gli aspetti organizzativi, didattici e logistici:</w:t>
      </w:r>
    </w:p>
    <w:p w:rsidR="00334BA9" w:rsidRPr="001F5BEE" w:rsidRDefault="00334BA9" w:rsidP="00334BA9">
      <w:pPr>
        <w:numPr>
          <w:ilvl w:val="1"/>
          <w:numId w:val="1"/>
        </w:numPr>
        <w:tabs>
          <w:tab w:val="clear" w:pos="144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709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Clienti/utenti</w:t>
      </w:r>
    </w:p>
    <w:p w:rsidR="00334BA9" w:rsidRPr="001F5BEE" w:rsidRDefault="00334BA9" w:rsidP="00334BA9">
      <w:pPr>
        <w:numPr>
          <w:ilvl w:val="1"/>
          <w:numId w:val="1"/>
        </w:numPr>
        <w:tabs>
          <w:tab w:val="clear" w:pos="144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709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 xml:space="preserve">Enti finanziatori </w:t>
      </w:r>
    </w:p>
    <w:p w:rsidR="00334BA9" w:rsidRDefault="00334BA9" w:rsidP="00334BA9">
      <w:pPr>
        <w:numPr>
          <w:ilvl w:val="1"/>
          <w:numId w:val="1"/>
        </w:numPr>
        <w:tabs>
          <w:tab w:val="clear" w:pos="1440"/>
          <w:tab w:val="left" w:pos="993"/>
        </w:tabs>
        <w:overflowPunct/>
        <w:autoSpaceDE/>
        <w:autoSpaceDN/>
        <w:adjustRightInd/>
        <w:spacing w:before="100" w:beforeAutospacing="1" w:after="100" w:afterAutospacing="1"/>
        <w:ind w:left="709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 xml:space="preserve">Sistema Confesercenti </w:t>
      </w:r>
    </w:p>
    <w:p w:rsidR="00334BA9" w:rsidRDefault="00334BA9" w:rsidP="00334BA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Aumentare la soddisfazione, la motivazione e l’aggiornamento continuo dei collaboratori interni</w:t>
      </w:r>
    </w:p>
    <w:p w:rsidR="00334BA9" w:rsidRDefault="00334BA9" w:rsidP="00334BA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Theme="minorHAnsi" w:hAnsiTheme="minorHAnsi" w:cs="Calibri"/>
          <w:sz w:val="24"/>
          <w:szCs w:val="24"/>
        </w:rPr>
      </w:pPr>
    </w:p>
    <w:p w:rsidR="00334BA9" w:rsidRPr="00334BA9" w:rsidRDefault="00334BA9" w:rsidP="00334BA9">
      <w:pPr>
        <w:pStyle w:val="Paragrafoelenco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Theme="minorHAnsi" w:hAnsiTheme="minorHAnsi"/>
          <w:sz w:val="24"/>
          <w:szCs w:val="24"/>
        </w:rPr>
      </w:pPr>
      <w:r w:rsidRPr="00334BA9">
        <w:rPr>
          <w:rFonts w:asciiTheme="minorHAnsi" w:hAnsiTheme="minorHAnsi" w:cs="Calibri"/>
          <w:sz w:val="24"/>
          <w:szCs w:val="24"/>
        </w:rPr>
        <w:t>Garantire la soddisfazione degli stakeholder rispetto alle collaborazioni / sinergie attivate e agli impegni assunti</w:t>
      </w:r>
    </w:p>
    <w:p w:rsidR="00334BA9" w:rsidRDefault="00334BA9" w:rsidP="00334BA9">
      <w:pPr>
        <w:pStyle w:val="Paragrafoelenco"/>
        <w:tabs>
          <w:tab w:val="left" w:pos="284"/>
        </w:tabs>
        <w:overflowPunct/>
        <w:autoSpaceDE/>
        <w:autoSpaceDN/>
        <w:adjustRightInd/>
        <w:ind w:left="0"/>
        <w:textAlignment w:val="auto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p w:rsidR="00334BA9" w:rsidRPr="00334BA9" w:rsidRDefault="00334BA9" w:rsidP="00334BA9">
      <w:pPr>
        <w:pStyle w:val="Paragrafoelenco"/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Theme="minorHAnsi" w:hAnsiTheme="minorHAnsi"/>
          <w:sz w:val="24"/>
          <w:szCs w:val="24"/>
        </w:rPr>
      </w:pPr>
      <w:r w:rsidRPr="00334BA9">
        <w:rPr>
          <w:rFonts w:asciiTheme="minorHAnsi" w:hAnsiTheme="minorHAnsi"/>
          <w:sz w:val="24"/>
          <w:szCs w:val="24"/>
        </w:rPr>
        <w:t>Presidiare, con adeguati strumenti informativi, le evoluzioni socio-economiche al fine di garantire un’offerta formativa continuamente aggiornata rispetto ai temi quali digitalizzazione, internazionalizzazione e sostenibilità (ambientale, economica e sociale), in grado da agire da volano per lo sviluppo delle imprese, del lavoro e della società civile</w:t>
      </w:r>
      <w:r w:rsidRPr="00334BA9">
        <w:rPr>
          <w:rFonts w:asciiTheme="minorHAnsi" w:hAnsiTheme="minorHAnsi"/>
          <w:sz w:val="24"/>
          <w:szCs w:val="24"/>
        </w:rPr>
        <w:br/>
      </w:r>
    </w:p>
    <w:p w:rsidR="00334BA9" w:rsidRPr="001F5BEE" w:rsidRDefault="00334BA9" w:rsidP="00334BA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Garantire le risorse per perseguire il miglioramento continuo delle proprie prestazioni, attraverso:</w:t>
      </w:r>
    </w:p>
    <w:p w:rsidR="00334BA9" w:rsidRPr="001F5BEE" w:rsidRDefault="00334BA9" w:rsidP="00334BA9">
      <w:pPr>
        <w:numPr>
          <w:ilvl w:val="1"/>
          <w:numId w:val="1"/>
        </w:numPr>
        <w:tabs>
          <w:tab w:val="clear" w:pos="1440"/>
          <w:tab w:val="left" w:pos="993"/>
        </w:tabs>
        <w:overflowPunct/>
        <w:autoSpaceDE/>
        <w:autoSpaceDN/>
        <w:adjustRightInd/>
        <w:ind w:left="709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 xml:space="preserve">la cultura della </w:t>
      </w:r>
      <w:r>
        <w:rPr>
          <w:rFonts w:asciiTheme="minorHAnsi" w:hAnsiTheme="minorHAnsi" w:cs="Calibri"/>
          <w:sz w:val="24"/>
          <w:szCs w:val="24"/>
        </w:rPr>
        <w:t xml:space="preserve">legalità, </w:t>
      </w:r>
      <w:r w:rsidRPr="001F5BEE">
        <w:rPr>
          <w:rFonts w:asciiTheme="minorHAnsi" w:hAnsiTheme="minorHAnsi" w:cs="Calibri"/>
          <w:sz w:val="24"/>
          <w:szCs w:val="24"/>
        </w:rPr>
        <w:t>qualità e l’approccio per processi e del Risk-Based Thinking, diffusi e condivisi con le risorse interne</w:t>
      </w:r>
      <w:r>
        <w:rPr>
          <w:rFonts w:asciiTheme="minorHAnsi" w:hAnsiTheme="minorHAnsi" w:cs="Calibri"/>
          <w:sz w:val="24"/>
          <w:szCs w:val="24"/>
        </w:rPr>
        <w:t>;</w:t>
      </w:r>
    </w:p>
    <w:p w:rsidR="0073750D" w:rsidRPr="00334BA9" w:rsidRDefault="00334BA9" w:rsidP="00334BA9">
      <w:pPr>
        <w:numPr>
          <w:ilvl w:val="1"/>
          <w:numId w:val="1"/>
        </w:numPr>
        <w:tabs>
          <w:tab w:val="clear" w:pos="1440"/>
          <w:tab w:val="left" w:pos="993"/>
        </w:tabs>
        <w:overflowPunct/>
        <w:autoSpaceDE/>
        <w:autoSpaceDN/>
        <w:adjustRightInd/>
        <w:ind w:left="709" w:firstLine="0"/>
        <w:textAlignment w:val="auto"/>
        <w:rPr>
          <w:rFonts w:asciiTheme="minorHAnsi" w:hAnsiTheme="minorHAnsi" w:cs="Calibri"/>
          <w:sz w:val="24"/>
          <w:szCs w:val="24"/>
        </w:rPr>
      </w:pPr>
      <w:r w:rsidRPr="001F5BEE">
        <w:rPr>
          <w:rFonts w:asciiTheme="minorHAnsi" w:hAnsiTheme="minorHAnsi" w:cs="Calibri"/>
          <w:sz w:val="24"/>
          <w:szCs w:val="24"/>
        </w:rPr>
        <w:t>il costante monitoraggio e riesame delle attività svolte per ridurre reclami e disservizi in una logica “preventiva” anziché “correttiva”.</w:t>
      </w:r>
      <w:r w:rsidR="0073750D" w:rsidRPr="00334BA9">
        <w:rPr>
          <w:rFonts w:asciiTheme="minorHAnsi" w:hAnsiTheme="minorHAnsi"/>
          <w:sz w:val="24"/>
          <w:szCs w:val="24"/>
        </w:rPr>
        <w:br/>
      </w:r>
    </w:p>
    <w:p w:rsidR="0073750D" w:rsidRPr="001F5BEE" w:rsidRDefault="0073750D" w:rsidP="001F5BEE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sectPr w:rsidR="0073750D" w:rsidRPr="001F5BEE" w:rsidSect="00334BA9">
      <w:footerReference w:type="default" r:id="rId9"/>
      <w:pgSz w:w="11906" w:h="16838"/>
      <w:pgMar w:top="284" w:right="849" w:bottom="284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11" w:rsidRDefault="00ED0211" w:rsidP="00ED0211">
      <w:r>
        <w:separator/>
      </w:r>
    </w:p>
  </w:endnote>
  <w:endnote w:type="continuationSeparator" w:id="0">
    <w:p w:rsidR="00ED0211" w:rsidRDefault="00ED0211" w:rsidP="00ED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7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shd w:val="clear" w:color="auto" w:fill="EAF1D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5"/>
      <w:gridCol w:w="5967"/>
      <w:gridCol w:w="2277"/>
    </w:tblGrid>
    <w:tr w:rsidR="00ED0211" w:rsidRPr="007612B6" w:rsidTr="005B30C5">
      <w:trPr>
        <w:cantSplit/>
        <w:trHeight w:val="553"/>
      </w:trPr>
      <w:tc>
        <w:tcPr>
          <w:tcW w:w="1021" w:type="pct"/>
          <w:shd w:val="clear" w:color="auto" w:fill="EAF1DD"/>
          <w:vAlign w:val="center"/>
        </w:tcPr>
        <w:p w:rsidR="00ED0211" w:rsidRPr="00915942" w:rsidRDefault="00ED0211" w:rsidP="00ED0211">
          <w:pPr>
            <w:pStyle w:val="Intestazione"/>
            <w:rPr>
              <w:rFonts w:ascii="Calibri" w:hAnsi="Calibri"/>
              <w:b/>
              <w:bCs/>
              <w:spacing w:val="-4"/>
              <w:sz w:val="22"/>
            </w:rPr>
          </w:pPr>
          <w:r w:rsidRPr="00915942">
            <w:rPr>
              <w:rFonts w:ascii="Calibri" w:hAnsi="Calibri"/>
              <w:b/>
              <w:bCs/>
              <w:spacing w:val="-4"/>
              <w:sz w:val="22"/>
            </w:rPr>
            <w:t xml:space="preserve">Allegato </w:t>
          </w:r>
          <w:r>
            <w:rPr>
              <w:rFonts w:ascii="Calibri" w:hAnsi="Calibri"/>
              <w:b/>
              <w:bCs/>
              <w:spacing w:val="-4"/>
              <w:sz w:val="22"/>
            </w:rPr>
            <w:t>0</w:t>
          </w:r>
          <w:r w:rsidRPr="00915942">
            <w:rPr>
              <w:rFonts w:ascii="Calibri" w:hAnsi="Calibri"/>
              <w:b/>
              <w:bCs/>
              <w:spacing w:val="-4"/>
              <w:sz w:val="22"/>
            </w:rPr>
            <w:t xml:space="preserve">/MQ  </w:t>
          </w:r>
        </w:p>
      </w:tc>
      <w:tc>
        <w:tcPr>
          <w:tcW w:w="2880" w:type="pct"/>
          <w:shd w:val="clear" w:color="auto" w:fill="EAF1DD"/>
          <w:vAlign w:val="center"/>
        </w:tcPr>
        <w:p w:rsidR="00ED0211" w:rsidRPr="00915942" w:rsidRDefault="00ED0211" w:rsidP="005B30C5">
          <w:pPr>
            <w:pStyle w:val="Intestazione"/>
            <w:jc w:val="center"/>
            <w:rPr>
              <w:rFonts w:ascii="Calibri" w:hAnsi="Calibri"/>
              <w:b/>
              <w:sz w:val="22"/>
            </w:rPr>
          </w:pPr>
        </w:p>
      </w:tc>
      <w:tc>
        <w:tcPr>
          <w:tcW w:w="1099" w:type="pct"/>
          <w:shd w:val="clear" w:color="auto" w:fill="EAF1DD"/>
          <w:vAlign w:val="center"/>
        </w:tcPr>
        <w:p w:rsidR="00ED0211" w:rsidRPr="007612B6" w:rsidRDefault="00ED0211" w:rsidP="005B30C5">
          <w:pPr>
            <w:rPr>
              <w:rFonts w:ascii="Calibri" w:hAnsi="Calibri"/>
              <w:b/>
              <w:sz w:val="22"/>
            </w:rPr>
          </w:pPr>
          <w:r w:rsidRPr="007612B6">
            <w:rPr>
              <w:rFonts w:ascii="Calibri" w:hAnsi="Calibri"/>
              <w:b/>
              <w:sz w:val="22"/>
            </w:rPr>
            <w:t xml:space="preserve">Pag </w:t>
          </w:r>
          <w:r w:rsidRPr="007612B6">
            <w:rPr>
              <w:rStyle w:val="Numeropagina"/>
              <w:rFonts w:ascii="Calibri" w:hAnsi="Calibri"/>
              <w:b/>
              <w:sz w:val="22"/>
            </w:rPr>
            <w:fldChar w:fldCharType="begin"/>
          </w:r>
          <w:r w:rsidRPr="007612B6">
            <w:rPr>
              <w:rStyle w:val="Numeropagina"/>
              <w:rFonts w:ascii="Calibri" w:hAnsi="Calibri"/>
              <w:b/>
              <w:sz w:val="22"/>
            </w:rPr>
            <w:instrText xml:space="preserve"> PAGE </w:instrText>
          </w:r>
          <w:r w:rsidRPr="007612B6">
            <w:rPr>
              <w:rStyle w:val="Numeropagina"/>
              <w:rFonts w:ascii="Calibri" w:hAnsi="Calibri"/>
              <w:b/>
              <w:sz w:val="22"/>
            </w:rPr>
            <w:fldChar w:fldCharType="separate"/>
          </w:r>
          <w:r w:rsidR="00334BA9">
            <w:rPr>
              <w:rStyle w:val="Numeropagina"/>
              <w:rFonts w:ascii="Calibri" w:hAnsi="Calibri"/>
              <w:b/>
              <w:noProof/>
              <w:sz w:val="22"/>
            </w:rPr>
            <w:t>1</w:t>
          </w:r>
          <w:r w:rsidRPr="007612B6">
            <w:rPr>
              <w:rStyle w:val="Numeropagina"/>
              <w:rFonts w:ascii="Calibri" w:hAnsi="Calibri"/>
              <w:b/>
              <w:sz w:val="22"/>
            </w:rPr>
            <w:fldChar w:fldCharType="end"/>
          </w:r>
          <w:r>
            <w:rPr>
              <w:rStyle w:val="Numeropagina"/>
              <w:rFonts w:ascii="Calibri" w:hAnsi="Calibri"/>
              <w:b/>
              <w:sz w:val="22"/>
            </w:rPr>
            <w:t xml:space="preserve"> di 1</w:t>
          </w:r>
        </w:p>
      </w:tc>
    </w:tr>
  </w:tbl>
  <w:p w:rsidR="00ED0211" w:rsidRDefault="00ED0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11" w:rsidRDefault="00ED0211" w:rsidP="00ED0211">
      <w:r>
        <w:separator/>
      </w:r>
    </w:p>
  </w:footnote>
  <w:footnote w:type="continuationSeparator" w:id="0">
    <w:p w:rsidR="00ED0211" w:rsidRDefault="00ED0211" w:rsidP="00ED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C25"/>
    <w:multiLevelType w:val="hybridMultilevel"/>
    <w:tmpl w:val="397CB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3279"/>
    <w:multiLevelType w:val="multilevel"/>
    <w:tmpl w:val="11F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D"/>
    <w:rsid w:val="000545A3"/>
    <w:rsid w:val="001F5BEE"/>
    <w:rsid w:val="00334BA9"/>
    <w:rsid w:val="00486CBB"/>
    <w:rsid w:val="0073750D"/>
    <w:rsid w:val="00ED0211"/>
    <w:rsid w:val="00E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BB278"/>
  <w15:docId w15:val="{A6E5661C-757D-48CE-B509-B76EABD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5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73750D"/>
  </w:style>
  <w:style w:type="paragraph" w:styleId="Intestazione">
    <w:name w:val="header"/>
    <w:basedOn w:val="Normale"/>
    <w:link w:val="IntestazioneCarattere"/>
    <w:rsid w:val="00737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75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73750D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375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75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5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50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0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3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Annabetta Buldrini</cp:lastModifiedBy>
  <cp:revision>6</cp:revision>
  <cp:lastPrinted>2018-03-07T10:43:00Z</cp:lastPrinted>
  <dcterms:created xsi:type="dcterms:W3CDTF">2018-03-07T10:42:00Z</dcterms:created>
  <dcterms:modified xsi:type="dcterms:W3CDTF">2023-05-03T07:36:00Z</dcterms:modified>
</cp:coreProperties>
</file>